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3C22B" w14:textId="56AD0260" w:rsidR="00841CF7" w:rsidRPr="008B1D7C" w:rsidRDefault="00841CF7" w:rsidP="00841CF7">
      <w:pPr>
        <w:tabs>
          <w:tab w:val="left" w:pos="1985"/>
        </w:tabs>
        <w:ind w:left="2040" w:hangingChars="850" w:hanging="2040"/>
        <w:rPr>
          <w:rFonts w:ascii="Arial" w:hAnsi="Arial"/>
          <w:b/>
          <w:sz w:val="24"/>
        </w:rPr>
      </w:pPr>
      <w:r w:rsidRPr="008B1D7C">
        <w:rPr>
          <w:rFonts w:ascii="Arial" w:hAnsi="Arial"/>
          <w:b/>
          <w:sz w:val="24"/>
        </w:rPr>
        <w:t>3GPP TSG-RAN WG2 Meeting #127bis</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8B1D7C">
        <w:rPr>
          <w:rFonts w:ascii="Arial" w:hAnsi="Arial"/>
          <w:b/>
          <w:sz w:val="24"/>
        </w:rPr>
        <w:t>R2-240</w:t>
      </w:r>
      <w:r w:rsidR="000D0472">
        <w:rPr>
          <w:rFonts w:ascii="Arial" w:hAnsi="Arial"/>
          <w:b/>
          <w:sz w:val="24"/>
        </w:rPr>
        <w:t>8296</w:t>
      </w:r>
    </w:p>
    <w:p w14:paraId="6CDCD75E" w14:textId="77777777" w:rsidR="00841CF7" w:rsidRPr="008B1D7C" w:rsidRDefault="00841CF7" w:rsidP="00841CF7">
      <w:pPr>
        <w:tabs>
          <w:tab w:val="left" w:pos="1985"/>
        </w:tabs>
        <w:ind w:left="2040" w:hangingChars="850" w:hanging="2040"/>
        <w:rPr>
          <w:rFonts w:ascii="Arial" w:hAnsi="Arial"/>
          <w:b/>
          <w:sz w:val="24"/>
        </w:rPr>
      </w:pPr>
      <w:r w:rsidRPr="008B1D7C">
        <w:rPr>
          <w:rFonts w:ascii="Arial" w:hAnsi="Arial"/>
          <w:b/>
          <w:sz w:val="24"/>
        </w:rPr>
        <w:t>Hefei, China, Oct 14th – 18th, 2024</w:t>
      </w:r>
    </w:p>
    <w:p w14:paraId="50E859A7" w14:textId="2F0B1694" w:rsidR="00181F12" w:rsidRPr="00181F12" w:rsidRDefault="00181F12" w:rsidP="00240AE8">
      <w:pPr>
        <w:tabs>
          <w:tab w:val="left" w:pos="1985"/>
        </w:tabs>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018AFD2" w14:textId="6218FE1C" w:rsidR="00277C50" w:rsidRDefault="00E00C29" w:rsidP="00277C50">
      <w:pPr>
        <w:jc w:val="both"/>
        <w:rPr>
          <w:rFonts w:ascii="Arial" w:eastAsiaTheme="minorEastAsia" w:hAnsi="Arial" w:cs="Arial"/>
        </w:rPr>
      </w:pPr>
      <w:r>
        <w:rPr>
          <w:rFonts w:ascii="Arial" w:eastAsiaTheme="minorEastAsia" w:hAnsi="Arial" w:cs="Arial"/>
        </w:rPr>
        <w:t xml:space="preserve">RAN2 discussed the </w:t>
      </w:r>
      <w:r w:rsidR="00277C50" w:rsidRPr="00277C50">
        <w:rPr>
          <w:rFonts w:ascii="Arial" w:hAnsi="Arial" w:cs="Arial"/>
          <w:lang w:eastAsia="zh-CN"/>
        </w:rPr>
        <w:t>a</w:t>
      </w:r>
      <w:r w:rsidR="00277C50" w:rsidRPr="00277C50">
        <w:rPr>
          <w:rFonts w:ascii="Arial" w:hAnsi="Arial" w:cs="Arial"/>
        </w:rPr>
        <w:t xml:space="preserve">daptation of </w:t>
      </w:r>
      <w:r w:rsidR="00AC29CE">
        <w:rPr>
          <w:rFonts w:ascii="Arial" w:hAnsi="Arial" w:cs="Arial"/>
        </w:rPr>
        <w:t>paging occasions in RAN2#126 and made the following agreements</w:t>
      </w:r>
      <w:r w:rsidR="00277C50" w:rsidRPr="00277C50">
        <w:rPr>
          <w:rFonts w:ascii="Arial" w:eastAsiaTheme="minorEastAsia" w:hAnsi="Arial" w:cs="Arial"/>
        </w:rPr>
        <w:t>:</w:t>
      </w:r>
    </w:p>
    <w:p w14:paraId="784C7D29"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From the UE point of view, UE will monitor one PEI/PO every paging DRX cycle, i.e. the UE doesn’t skip PO in paging DRX cycle.</w:t>
      </w:r>
    </w:p>
    <w:p w14:paraId="296A8C00"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 xml:space="preserve">For adaptation of paging occasions in time domain, RAN2 to study </w:t>
      </w:r>
    </w:p>
    <w:p w14:paraId="7789AA72"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bundle paging frames and</w:t>
      </w:r>
    </w:p>
    <w:p w14:paraId="775CDE6F"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extend the values of N to have increased interval between PFs (e.g. T/64, T/128 ...) and compensating decrease in number of PFs by increasing POs per PF.</w:t>
      </w:r>
    </w:p>
    <w:p w14:paraId="40CE2E74"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rPr>
        <w:t>For Paging adaptation, R2 discusses the following options on compatibility of legacy RRC_IDLE/RRC_INACTIVE UE:</w:t>
      </w:r>
    </w:p>
    <w:p w14:paraId="40D8E1CC"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1: Prevent the access of legacy UE via barring;</w:t>
      </w:r>
    </w:p>
    <w:p w14:paraId="5B5B17CA"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2: Separate paging resources for legacy UEs and Rel-19 NES UEs (assuming there are legacy UEs)</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4AAAE8A" w14:textId="38377D6C" w:rsidR="00277C50" w:rsidRPr="00E05F7C" w:rsidRDefault="00E05F7C" w:rsidP="007D528E">
      <w:pPr>
        <w:spacing w:line="360" w:lineRule="auto"/>
        <w:jc w:val="both"/>
        <w:rPr>
          <w:rFonts w:ascii="Arial" w:hAnsi="Arial" w:cs="Arial"/>
          <w:bCs/>
          <w:sz w:val="28"/>
          <w:lang w:eastAsia="zh-CN"/>
        </w:rPr>
      </w:pPr>
      <w:r>
        <w:rPr>
          <w:rFonts w:ascii="Arial" w:hAnsi="Arial" w:cs="Arial"/>
          <w:bCs/>
          <w:sz w:val="28"/>
          <w:lang w:eastAsia="zh-CN"/>
        </w:rPr>
        <w:t xml:space="preserve">2.1 </w:t>
      </w:r>
      <w:r w:rsidR="00277C50" w:rsidRPr="00E05F7C">
        <w:rPr>
          <w:rFonts w:ascii="Arial" w:hAnsi="Arial" w:cs="Arial"/>
          <w:bCs/>
          <w:sz w:val="28"/>
          <w:lang w:eastAsia="zh-CN"/>
        </w:rPr>
        <w:t>Adaptation of SSB in time domain</w:t>
      </w:r>
    </w:p>
    <w:p w14:paraId="1FA47958" w14:textId="4F923551" w:rsidR="00277C50" w:rsidRPr="00277C50" w:rsidRDefault="00277C50" w:rsidP="00277C50">
      <w:pPr>
        <w:rPr>
          <w:rFonts w:ascii="Arial" w:hAnsi="Arial" w:cs="Arial"/>
        </w:rPr>
      </w:pPr>
      <w:r w:rsidRPr="00277C50">
        <w:rPr>
          <w:rFonts w:ascii="Arial" w:hAnsi="Arial" w:cs="Arial"/>
        </w:rPr>
        <w:t>RAN1 has discussed adaptation of SSB in time domain and agreed</w:t>
      </w:r>
      <w:r w:rsidR="00AC29CE">
        <w:rPr>
          <w:rFonts w:ascii="Arial" w:hAnsi="Arial" w:cs="Arial"/>
        </w:rPr>
        <w:t xml:space="preserve"> the following</w:t>
      </w:r>
      <w:r w:rsidRPr="00277C50">
        <w:rPr>
          <w:rFonts w:ascii="Arial" w:hAnsi="Arial" w:cs="Arial"/>
        </w:rPr>
        <w:t xml:space="preserve">: </w:t>
      </w:r>
    </w:p>
    <w:p w14:paraId="37143892" w14:textId="77777777" w:rsidR="00F7571C" w:rsidRPr="008A01C8" w:rsidRDefault="00F7571C" w:rsidP="005B3630">
      <w:pPr>
        <w:pStyle w:val="ListParagraph"/>
        <w:numPr>
          <w:ilvl w:val="0"/>
          <w:numId w:val="22"/>
        </w:numPr>
        <w:ind w:leftChars="0"/>
        <w:rPr>
          <w:rFonts w:ascii="Arial" w:hAnsi="Arial" w:cs="Arial"/>
          <w:lang w:eastAsia="x-none"/>
        </w:rPr>
      </w:pPr>
      <w:r w:rsidRPr="008A01C8">
        <w:rPr>
          <w:rFonts w:ascii="Arial" w:hAnsi="Arial" w:cs="Arial"/>
          <w:lang w:eastAsia="x-none"/>
        </w:rPr>
        <w:t>For adaptation of SSB in time-domain, Option 1 is supported</w:t>
      </w:r>
    </w:p>
    <w:p w14:paraId="1DCB1235" w14:textId="77777777" w:rsidR="00F7571C" w:rsidRPr="008A01C8" w:rsidRDefault="00F7571C" w:rsidP="005B3630">
      <w:pPr>
        <w:numPr>
          <w:ilvl w:val="0"/>
          <w:numId w:val="14"/>
        </w:numPr>
        <w:suppressAutoHyphens/>
        <w:spacing w:after="0"/>
        <w:rPr>
          <w:rFonts w:ascii="Arial" w:hAnsi="Arial" w:cs="Arial"/>
          <w:lang w:eastAsia="x-none"/>
        </w:rPr>
      </w:pPr>
      <w:r w:rsidRPr="008A01C8">
        <w:rPr>
          <w:rFonts w:ascii="Arial" w:hAnsi="Arial" w:cs="Arial"/>
          <w:lang w:eastAsia="x-none"/>
        </w:rPr>
        <w:t>Option 1: Adaptation of SSB burst periodicity using one or more SSB burst periodicity value(s)</w:t>
      </w:r>
    </w:p>
    <w:p w14:paraId="003C3776" w14:textId="21285EB2" w:rsidR="00E13DA9" w:rsidRDefault="00E13DA9" w:rsidP="00E13DA9">
      <w:pPr>
        <w:pStyle w:val="BodyText"/>
        <w:suppressAutoHyphens/>
        <w:spacing w:after="0"/>
        <w:rPr>
          <w:rFonts w:ascii="Arial" w:hAnsi="Arial" w:cs="Arial"/>
          <w:szCs w:val="20"/>
        </w:rPr>
      </w:pPr>
    </w:p>
    <w:p w14:paraId="4D842EA2" w14:textId="7AC32838" w:rsidR="00174549" w:rsidRPr="00174549" w:rsidRDefault="008A01C8" w:rsidP="00174549">
      <w:pPr>
        <w:spacing w:line="360" w:lineRule="auto"/>
        <w:jc w:val="both"/>
        <w:rPr>
          <w:rFonts w:ascii="Arial" w:hAnsi="Arial" w:cs="Arial"/>
          <w:lang w:val="en-GB" w:eastAsia="ko-KR"/>
        </w:rPr>
      </w:pPr>
      <w:r w:rsidRPr="008A01C8">
        <w:rPr>
          <w:rFonts w:ascii="Arial" w:hAnsi="Arial" w:cs="Arial"/>
          <w:lang w:eastAsia="ko-KR"/>
        </w:rPr>
        <w:t xml:space="preserve">When pagingSearchSpace is zero and </w:t>
      </w:r>
      <w:r w:rsidRPr="008A01C8">
        <w:rPr>
          <w:rFonts w:ascii="Arial" w:hAnsi="Arial" w:cs="Arial"/>
          <w:lang w:val="en-GB" w:eastAsia="ko-KR"/>
        </w:rPr>
        <w:t xml:space="preserve">SS/PBCH block and CORESET multiplexing pattern is 2 or 3 </w:t>
      </w:r>
      <w:r w:rsidRPr="008A01C8">
        <w:rPr>
          <w:rFonts w:ascii="Arial" w:hAnsi="Arial" w:cs="Arial"/>
          <w:lang w:eastAsia="ko-KR"/>
        </w:rPr>
        <w:t>, PMOs for paging are same as SSB occasions</w:t>
      </w:r>
      <w:r w:rsidR="005B3630">
        <w:rPr>
          <w:rFonts w:ascii="Arial" w:hAnsi="Arial" w:cs="Arial"/>
          <w:lang w:eastAsia="ko-KR"/>
        </w:rPr>
        <w:t xml:space="preserve">, </w:t>
      </w:r>
      <w:r w:rsidRPr="008A01C8">
        <w:rPr>
          <w:rFonts w:ascii="Arial" w:hAnsi="Arial" w:cs="Arial"/>
          <w:lang w:eastAsia="ko-KR"/>
        </w:rPr>
        <w:t xml:space="preserve">PF </w:t>
      </w:r>
      <w:r w:rsidR="005B3630">
        <w:rPr>
          <w:rFonts w:ascii="Arial" w:hAnsi="Arial" w:cs="Arial"/>
          <w:lang w:eastAsia="ko-KR"/>
        </w:rPr>
        <w:t xml:space="preserve">is the </w:t>
      </w:r>
      <w:r>
        <w:rPr>
          <w:rFonts w:ascii="Arial" w:hAnsi="Arial" w:cs="Arial"/>
          <w:lang w:eastAsia="ko-KR"/>
        </w:rPr>
        <w:t>radio frame in which SSBs are transmitted</w:t>
      </w:r>
      <w:r w:rsidR="005B3630">
        <w:rPr>
          <w:rFonts w:ascii="Arial" w:hAnsi="Arial" w:cs="Arial"/>
          <w:lang w:eastAsia="ko-KR"/>
        </w:rPr>
        <w:t xml:space="preserve">. This </w:t>
      </w:r>
      <w:r w:rsidRPr="008A01C8">
        <w:rPr>
          <w:rFonts w:ascii="Arial" w:hAnsi="Arial" w:cs="Arial"/>
          <w:lang w:eastAsia="ko-KR"/>
        </w:rPr>
        <w:t xml:space="preserve">is ensured by configuring </w:t>
      </w:r>
      <w:r w:rsidRPr="008A01C8">
        <w:rPr>
          <w:rFonts w:ascii="Arial" w:hAnsi="Arial" w:cs="Arial"/>
          <w:lang w:val="en-GB" w:eastAsia="ko-KR"/>
        </w:rPr>
        <w:t>nAndPagingFrameOffset based on period/offset of SSB transmission.</w:t>
      </w:r>
      <w:r w:rsidR="00174549">
        <w:rPr>
          <w:rFonts w:ascii="Arial" w:hAnsi="Arial" w:cs="Arial"/>
          <w:lang w:val="en-GB" w:eastAsia="ko-KR"/>
        </w:rPr>
        <w:t xml:space="preserve"> Figure 1 is an example illustration of this for </w:t>
      </w:r>
      <w:r w:rsidR="00174549" w:rsidRPr="00174549">
        <w:rPr>
          <w:rFonts w:ascii="Arial" w:hAnsi="Arial" w:cs="Arial"/>
          <w:lang w:val="en-GB" w:eastAsia="ko-KR"/>
        </w:rPr>
        <w:t>SSB periodicity = 80ms, N = T/8 and PF_Offset = offset</w:t>
      </w:r>
      <w:r w:rsidR="00174549">
        <w:rPr>
          <w:rFonts w:ascii="Arial" w:hAnsi="Arial" w:cs="Arial"/>
          <w:lang w:val="en-GB" w:eastAsia="ko-KR"/>
        </w:rPr>
        <w:t>.</w:t>
      </w:r>
    </w:p>
    <w:p w14:paraId="7C884578" w14:textId="2BEAE282" w:rsidR="00174549" w:rsidRDefault="00174549" w:rsidP="00174549">
      <w:pPr>
        <w:spacing w:line="360" w:lineRule="auto"/>
        <w:jc w:val="center"/>
        <w:rPr>
          <w:rFonts w:ascii="Arial" w:hAnsi="Arial" w:cs="Arial"/>
          <w:lang w:val="en-GB" w:eastAsia="ko-KR"/>
        </w:rPr>
      </w:pPr>
      <w:r>
        <w:rPr>
          <w:rFonts w:ascii="Footlight MT Light" w:hAnsi="Footlight MT Light"/>
          <w:noProof/>
        </w:rPr>
        <mc:AlternateContent>
          <mc:Choice Requires="wps">
            <w:drawing>
              <wp:anchor distT="0" distB="0" distL="114300" distR="114300" simplePos="0" relativeHeight="251659264" behindDoc="0" locked="0" layoutInCell="1" allowOverlap="1" wp14:anchorId="2AF6E7C6" wp14:editId="3E9B5211">
                <wp:simplePos x="0" y="0"/>
                <wp:positionH relativeFrom="column">
                  <wp:posOffset>2251710</wp:posOffset>
                </wp:positionH>
                <wp:positionV relativeFrom="paragraph">
                  <wp:posOffset>821055</wp:posOffset>
                </wp:positionV>
                <wp:extent cx="1516380" cy="167640"/>
                <wp:effectExtent l="0" t="0" r="7620" b="3810"/>
                <wp:wrapNone/>
                <wp:docPr id="2" name="Rectangle 2"/>
                <wp:cNvGraphicFramePr/>
                <a:graphic xmlns:a="http://schemas.openxmlformats.org/drawingml/2006/main">
                  <a:graphicData uri="http://schemas.microsoft.com/office/word/2010/wordprocessingShape">
                    <wps:wsp>
                      <wps:cNvSpPr/>
                      <wps:spPr>
                        <a:xfrm>
                          <a:off x="0" y="0"/>
                          <a:ext cx="151638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6707F5" id="Rectangle 2" o:spid="_x0000_s1026" style="position:absolute;margin-left:177.3pt;margin-top:64.65pt;width:119.4pt;height:1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" fillcolor="white [3212]" stroked="f" strokeweight="1pt"/>
            </w:pict>
          </mc:Fallback>
        </mc:AlternateContent>
      </w:r>
      <w:r>
        <w:rPr>
          <w:rFonts w:ascii="Footlight MT Light" w:hAnsi="Footlight MT Light"/>
          <w:noProof/>
        </w:rPr>
        <w:drawing>
          <wp:inline distT="0" distB="0" distL="0" distR="0" wp14:anchorId="3DC338A0" wp14:editId="631885C2">
            <wp:extent cx="5903676" cy="1455420"/>
            <wp:effectExtent l="0" t="0" r="1905" b="0"/>
            <wp:docPr id="1" name="Picture 1" descr="cid:image004.png@01DB0E94.318DD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B0E94.318DD9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61749" cy="1469737"/>
                    </a:xfrm>
                    <a:prstGeom prst="rect">
                      <a:avLst/>
                    </a:prstGeom>
                    <a:noFill/>
                    <a:ln>
                      <a:noFill/>
                    </a:ln>
                  </pic:spPr>
                </pic:pic>
              </a:graphicData>
            </a:graphic>
          </wp:inline>
        </w:drawing>
      </w:r>
    </w:p>
    <w:p w14:paraId="6D0059EF" w14:textId="26BFD95F" w:rsidR="00174549" w:rsidRPr="00174549" w:rsidRDefault="00174549" w:rsidP="00174549">
      <w:pPr>
        <w:spacing w:line="360" w:lineRule="auto"/>
        <w:jc w:val="center"/>
        <w:rPr>
          <w:rFonts w:ascii="Arial" w:hAnsi="Arial" w:cs="Arial"/>
          <w:b/>
          <w:lang w:val="en-GB" w:eastAsia="ko-KR"/>
        </w:rPr>
      </w:pPr>
      <w:r w:rsidRPr="00174549">
        <w:rPr>
          <w:rFonts w:ascii="Arial" w:hAnsi="Arial" w:cs="Arial"/>
          <w:b/>
          <w:lang w:val="en-GB" w:eastAsia="ko-KR"/>
        </w:rPr>
        <w:t>Figure 1</w:t>
      </w:r>
    </w:p>
    <w:p w14:paraId="3B027E5A" w14:textId="77777777" w:rsidR="005B3630" w:rsidRDefault="005B3630" w:rsidP="007D528E">
      <w:pPr>
        <w:spacing w:line="360" w:lineRule="auto"/>
        <w:jc w:val="both"/>
        <w:rPr>
          <w:rFonts w:ascii="Arial" w:hAnsi="Arial" w:cs="Arial"/>
          <w:lang w:val="en-GB" w:eastAsia="ko-KR"/>
        </w:rPr>
      </w:pPr>
      <w:r>
        <w:rPr>
          <w:rFonts w:ascii="Arial" w:hAnsi="Arial" w:cs="Arial"/>
          <w:lang w:eastAsia="ko-KR"/>
        </w:rPr>
        <w:t>For</w:t>
      </w:r>
      <w:r w:rsidRPr="008A01C8">
        <w:rPr>
          <w:rFonts w:ascii="Arial" w:hAnsi="Arial" w:cs="Arial"/>
          <w:lang w:eastAsia="ko-KR"/>
        </w:rPr>
        <w:t xml:space="preserve"> pagingSearchSpace is zero and </w:t>
      </w:r>
      <w:r w:rsidRPr="008A01C8">
        <w:rPr>
          <w:rFonts w:ascii="Arial" w:hAnsi="Arial" w:cs="Arial"/>
          <w:lang w:val="en-GB" w:eastAsia="ko-KR"/>
        </w:rPr>
        <w:t>SS/PBCH block and CORESET multiplexing pattern is 2 or 3</w:t>
      </w:r>
      <w:r>
        <w:rPr>
          <w:rFonts w:ascii="Arial" w:hAnsi="Arial" w:cs="Arial"/>
          <w:lang w:val="en-GB" w:eastAsia="ko-KR"/>
        </w:rPr>
        <w:t>:</w:t>
      </w:r>
    </w:p>
    <w:p w14:paraId="3771140F" w14:textId="35774908" w:rsidR="008A01C8" w:rsidRPr="005B3630" w:rsidRDefault="005B3630" w:rsidP="005B3630">
      <w:pPr>
        <w:pStyle w:val="ListParagraph"/>
        <w:numPr>
          <w:ilvl w:val="0"/>
          <w:numId w:val="22"/>
        </w:numPr>
        <w:spacing w:line="360" w:lineRule="auto"/>
        <w:ind w:leftChars="0"/>
        <w:jc w:val="both"/>
        <w:rPr>
          <w:rFonts w:ascii="Arial" w:hAnsi="Arial" w:cs="Arial"/>
          <w:lang w:eastAsia="ko-KR"/>
        </w:rPr>
      </w:pPr>
      <w:r w:rsidRPr="005B3630">
        <w:rPr>
          <w:rFonts w:ascii="Arial" w:hAnsi="Arial" w:cs="Arial"/>
          <w:lang w:val="en-GB" w:eastAsia="ko-KR"/>
        </w:rPr>
        <w:lastRenderedPageBreak/>
        <w:t xml:space="preserve">In case SSB periodicity is changed, paging configuration needs to be changed to ensure that </w:t>
      </w:r>
      <w:r w:rsidRPr="005B3630">
        <w:rPr>
          <w:rFonts w:ascii="Arial" w:hAnsi="Arial" w:cs="Arial"/>
          <w:lang w:eastAsia="ko-KR"/>
        </w:rPr>
        <w:t xml:space="preserve">PF configured by paging configuration is the radio frame in which SSBs are transmitted as per new SSB periodicity. </w:t>
      </w:r>
      <w:r w:rsidR="00FB7FDA">
        <w:rPr>
          <w:rFonts w:ascii="Arial" w:hAnsi="Arial" w:cs="Arial"/>
          <w:lang w:eastAsia="ko-KR"/>
        </w:rPr>
        <w:t>As shown in figure 2, PF in red circle is not a valid PF for SSB periodicity of 160ms.</w:t>
      </w:r>
    </w:p>
    <w:p w14:paraId="43A23ABF" w14:textId="241D868A" w:rsidR="005B3630" w:rsidRPr="005B3630" w:rsidRDefault="005B3630" w:rsidP="005B3630">
      <w:pPr>
        <w:pStyle w:val="ListParagraph"/>
        <w:numPr>
          <w:ilvl w:val="1"/>
          <w:numId w:val="22"/>
        </w:numPr>
        <w:spacing w:line="360" w:lineRule="auto"/>
        <w:ind w:leftChars="0"/>
        <w:jc w:val="both"/>
        <w:rPr>
          <w:rFonts w:ascii="Arial" w:hAnsi="Arial" w:cs="Arial"/>
          <w:lang w:val="en-GB" w:eastAsia="ko-KR"/>
        </w:rPr>
      </w:pPr>
      <w:r>
        <w:rPr>
          <w:rFonts w:ascii="Arial" w:hAnsi="Arial" w:cs="Arial"/>
          <w:lang w:val="en-GB" w:eastAsia="ko-KR"/>
        </w:rPr>
        <w:t>O</w:t>
      </w:r>
      <w:r w:rsidRPr="005B3630">
        <w:rPr>
          <w:rFonts w:ascii="Arial" w:hAnsi="Arial" w:cs="Arial"/>
          <w:lang w:val="en-GB" w:eastAsia="ko-KR"/>
        </w:rPr>
        <w:t xml:space="preserve">ption 1: When SSB periodicity is changed, SIB1 can be updated by network to include new paging configuration. </w:t>
      </w:r>
    </w:p>
    <w:p w14:paraId="07353588" w14:textId="435F00F7" w:rsidR="005B3630" w:rsidRDefault="005B3630" w:rsidP="005B3630">
      <w:pPr>
        <w:pStyle w:val="ListParagraph"/>
        <w:numPr>
          <w:ilvl w:val="1"/>
          <w:numId w:val="22"/>
        </w:numPr>
        <w:spacing w:line="360" w:lineRule="auto"/>
        <w:ind w:leftChars="0"/>
        <w:jc w:val="both"/>
        <w:rPr>
          <w:rFonts w:ascii="Arial" w:hAnsi="Arial" w:cs="Arial"/>
          <w:lang w:val="en-GB" w:eastAsia="ko-KR"/>
        </w:rPr>
      </w:pPr>
      <w:r w:rsidRPr="005B3630">
        <w:rPr>
          <w:rFonts w:ascii="Arial" w:hAnsi="Arial" w:cs="Arial"/>
          <w:lang w:val="en-GB" w:eastAsia="ko-KR"/>
        </w:rPr>
        <w:t>Option 2: Two paging configuration can be signalled in SIB1, one corresponding to each SSB periodicity/SSB configuration. UE applies the configuration according to active SSB periodicity/SSB configuration.</w:t>
      </w:r>
    </w:p>
    <w:p w14:paraId="2EB4E9DC" w14:textId="2336FEF1" w:rsidR="00A201D7" w:rsidRPr="00A201D7" w:rsidRDefault="00A201D7" w:rsidP="00A201D7">
      <w:pPr>
        <w:spacing w:line="360" w:lineRule="auto"/>
        <w:jc w:val="both"/>
        <w:rPr>
          <w:rFonts w:ascii="Arial" w:hAnsi="Arial" w:cs="Arial"/>
          <w:lang w:val="en-GB" w:eastAsia="ko-KR"/>
        </w:rPr>
      </w:pPr>
      <w:r>
        <w:rPr>
          <w:rFonts w:ascii="Arial" w:hAnsi="Arial" w:cs="Arial"/>
          <w:lang w:val="en-GB" w:eastAsia="ko-KR"/>
        </w:rPr>
        <w:t>For dynamic adaptation of SSB periodicity, option 2 seems more efficient.</w:t>
      </w:r>
    </w:p>
    <w:p w14:paraId="55692FCE" w14:textId="03A15F96" w:rsidR="00174549" w:rsidRDefault="00174549" w:rsidP="00174549">
      <w:pPr>
        <w:spacing w:after="0"/>
        <w:jc w:val="center"/>
        <w:rPr>
          <w:rFonts w:ascii="Arial" w:hAnsi="Arial" w:cs="Arial"/>
          <w:b/>
          <w:lang w:val="en-GB" w:eastAsia="ko-KR"/>
        </w:rPr>
      </w:pPr>
      <w:r>
        <w:rPr>
          <w:rFonts w:ascii="Footlight MT Light" w:hAnsi="Footlight MT Light"/>
          <w:noProof/>
        </w:rPr>
        <mc:AlternateContent>
          <mc:Choice Requires="wps">
            <w:drawing>
              <wp:anchor distT="0" distB="0" distL="114300" distR="114300" simplePos="0" relativeHeight="251662336" behindDoc="0" locked="0" layoutInCell="1" allowOverlap="1" wp14:anchorId="1BB4200A" wp14:editId="1E212A92">
                <wp:simplePos x="0" y="0"/>
                <wp:positionH relativeFrom="column">
                  <wp:posOffset>377190</wp:posOffset>
                </wp:positionH>
                <wp:positionV relativeFrom="paragraph">
                  <wp:posOffset>535305</wp:posOffset>
                </wp:positionV>
                <wp:extent cx="2392680" cy="1905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392680" cy="190500"/>
                        </a:xfrm>
                        <a:prstGeom prst="rect">
                          <a:avLst/>
                        </a:prstGeom>
                        <a:noFill/>
                        <a:ln w="6350">
                          <a:noFill/>
                        </a:ln>
                      </wps:spPr>
                      <wps:txbx>
                        <w:txbxContent>
                          <w:p w14:paraId="18072C96" w14:textId="297BD071" w:rsidR="00174549" w:rsidRPr="00174549" w:rsidRDefault="00174549">
                            <w:pPr>
                              <w:rPr>
                                <w:rFonts w:ascii="Arial" w:hAnsi="Arial" w:cs="Arial"/>
                                <w:sz w:val="14"/>
                              </w:rPr>
                            </w:pPr>
                            <w:r w:rsidRPr="00174549">
                              <w:rPr>
                                <w:rFonts w:ascii="Arial" w:hAnsi="Arial" w:cs="Arial"/>
                                <w:sz w:val="14"/>
                              </w:rPr>
                              <w:t>SSB periodicity 1 = 80ms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B4200A" id="_x0000_t202" coordsize="21600,21600" o:spt="202" path="m,l,21600r21600,l21600,xe">
                <v:stroke joinstyle="miter"/>
                <v:path gradientshapeok="t" o:connecttype="rect"/>
              </v:shapetype>
              <v:shape id="Text Box 6" o:spid="_x0000_s1026" type="#_x0000_t202" style="position:absolute;left:0;text-align:left;margin-left:29.7pt;margin-top:42.15pt;width:188.4pt;height: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" filled="f" stroked="f" strokeweight=".5pt">
                <v:textbox>
                  <w:txbxContent>
                    <w:p w14:paraId="18072C96" w14:textId="297BD071" w:rsidR="00174549" w:rsidRPr="00174549" w:rsidRDefault="00174549">
                      <w:pPr>
                        <w:rPr>
                          <w:rFonts w:ascii="Arial" w:hAnsi="Arial" w:cs="Arial"/>
                          <w:sz w:val="14"/>
                        </w:rPr>
                      </w:pPr>
                      <w:r w:rsidRPr="00174549">
                        <w:rPr>
                          <w:rFonts w:ascii="Arial" w:hAnsi="Arial" w:cs="Arial"/>
                          <w:sz w:val="14"/>
                        </w:rPr>
                        <w:t>SSB periodicity 1 = 80ms</w:t>
                      </w:r>
                    </w:p>
                  </w:txbxContent>
                </v:textbox>
              </v:shape>
            </w:pict>
          </mc:Fallback>
        </mc:AlternateContent>
      </w:r>
      <w:r>
        <w:rPr>
          <w:rFonts w:ascii="Footlight MT Light" w:hAnsi="Footlight MT Light"/>
          <w:noProof/>
        </w:rPr>
        <mc:AlternateContent>
          <mc:Choice Requires="wps">
            <w:drawing>
              <wp:anchor distT="0" distB="0" distL="114300" distR="114300" simplePos="0" relativeHeight="251661312" behindDoc="0" locked="0" layoutInCell="1" allowOverlap="1" wp14:anchorId="7D6FCC25" wp14:editId="3F7CC9F4">
                <wp:simplePos x="0" y="0"/>
                <wp:positionH relativeFrom="column">
                  <wp:posOffset>300990</wp:posOffset>
                </wp:positionH>
                <wp:positionV relativeFrom="paragraph">
                  <wp:posOffset>695325</wp:posOffset>
                </wp:positionV>
                <wp:extent cx="2468880" cy="0"/>
                <wp:effectExtent l="38100" t="76200" r="26670" b="95250"/>
                <wp:wrapNone/>
                <wp:docPr id="5" name="Straight Connector 5"/>
                <wp:cNvGraphicFramePr/>
                <a:graphic xmlns:a="http://schemas.openxmlformats.org/drawingml/2006/main">
                  <a:graphicData uri="http://schemas.microsoft.com/office/word/2010/wordprocessingShape">
                    <wps:wsp>
                      <wps:cNvCnPr/>
                      <wps:spPr>
                        <a:xfrm>
                          <a:off x="0" y="0"/>
                          <a:ext cx="2468880" cy="0"/>
                        </a:xfrm>
                        <a:prstGeom prst="line">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E0876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7pt,54.75pt" to="218.1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" strokecolor="black [3213]" strokeweight=".5pt">
                <v:stroke startarrow="block" endarrow="block" joinstyle="miter"/>
              </v:line>
            </w:pict>
          </mc:Fallback>
        </mc:AlternateContent>
      </w:r>
      <w:r>
        <w:rPr>
          <w:rFonts w:ascii="Footlight MT Light" w:hAnsi="Footlight MT Light"/>
          <w:noProof/>
        </w:rPr>
        <mc:AlternateContent>
          <mc:Choice Requires="wps">
            <w:drawing>
              <wp:anchor distT="0" distB="0" distL="114300" distR="114300" simplePos="0" relativeHeight="251660288" behindDoc="0" locked="0" layoutInCell="1" allowOverlap="1" wp14:anchorId="511CE4AD" wp14:editId="058C235F">
                <wp:simplePos x="0" y="0"/>
                <wp:positionH relativeFrom="column">
                  <wp:posOffset>2068830</wp:posOffset>
                </wp:positionH>
                <wp:positionV relativeFrom="paragraph">
                  <wp:posOffset>1556385</wp:posOffset>
                </wp:positionV>
                <wp:extent cx="1668780" cy="179070"/>
                <wp:effectExtent l="0" t="0" r="7620" b="0"/>
                <wp:wrapNone/>
                <wp:docPr id="4" name="Rectangle 4"/>
                <wp:cNvGraphicFramePr/>
                <a:graphic xmlns:a="http://schemas.openxmlformats.org/drawingml/2006/main">
                  <a:graphicData uri="http://schemas.microsoft.com/office/word/2010/wordprocessingShape">
                    <wps:wsp>
                      <wps:cNvSpPr/>
                      <wps:spPr>
                        <a:xfrm>
                          <a:off x="0" y="0"/>
                          <a:ext cx="1668780" cy="1790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64D82C" id="Rectangle 4" o:spid="_x0000_s1026" style="position:absolute;margin-left:162.9pt;margin-top:122.55pt;width:131.4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" fillcolor="white [3212]" stroked="f" strokeweight="1pt"/>
            </w:pict>
          </mc:Fallback>
        </mc:AlternateContent>
      </w:r>
      <w:r>
        <w:rPr>
          <w:rFonts w:ascii="Footlight MT Light" w:hAnsi="Footlight MT Light"/>
          <w:noProof/>
        </w:rPr>
        <w:drawing>
          <wp:inline distT="0" distB="0" distL="0" distR="0" wp14:anchorId="0D7A31DD" wp14:editId="1B6F6EF1">
            <wp:extent cx="6120130" cy="1733670"/>
            <wp:effectExtent l="0" t="0" r="0" b="0"/>
            <wp:docPr id="3" name="Picture 3" descr="cid:image006.png@01DB0E94.318DD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6.png@01DB0E94.318DD9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130" cy="1733670"/>
                    </a:xfrm>
                    <a:prstGeom prst="rect">
                      <a:avLst/>
                    </a:prstGeom>
                    <a:noFill/>
                    <a:ln>
                      <a:noFill/>
                    </a:ln>
                  </pic:spPr>
                </pic:pic>
              </a:graphicData>
            </a:graphic>
          </wp:inline>
        </w:drawing>
      </w:r>
    </w:p>
    <w:p w14:paraId="1C1A5FF6" w14:textId="77777777" w:rsidR="00174549" w:rsidRDefault="00174549" w:rsidP="00174549">
      <w:pPr>
        <w:spacing w:after="0"/>
        <w:jc w:val="center"/>
        <w:rPr>
          <w:rFonts w:ascii="Arial" w:hAnsi="Arial" w:cs="Arial"/>
          <w:b/>
          <w:lang w:val="en-GB" w:eastAsia="ko-KR"/>
        </w:rPr>
      </w:pPr>
      <w:r>
        <w:rPr>
          <w:rFonts w:ascii="Arial" w:hAnsi="Arial" w:cs="Arial"/>
          <w:b/>
          <w:lang w:val="en-GB" w:eastAsia="ko-KR"/>
        </w:rPr>
        <w:t>Figure 2</w:t>
      </w:r>
    </w:p>
    <w:p w14:paraId="437CBF16" w14:textId="77777777" w:rsidR="00174549" w:rsidRDefault="00174549" w:rsidP="00554B2D">
      <w:pPr>
        <w:spacing w:after="0"/>
        <w:jc w:val="both"/>
        <w:rPr>
          <w:rFonts w:ascii="Arial" w:hAnsi="Arial" w:cs="Arial"/>
          <w:b/>
          <w:lang w:val="en-GB" w:eastAsia="ko-KR"/>
        </w:rPr>
      </w:pPr>
    </w:p>
    <w:p w14:paraId="1D2124F2" w14:textId="3AE021C8" w:rsidR="001E5D62" w:rsidRDefault="005B3630" w:rsidP="00554B2D">
      <w:pPr>
        <w:spacing w:after="0"/>
        <w:jc w:val="both"/>
        <w:rPr>
          <w:rFonts w:ascii="Arial" w:hAnsi="Arial" w:cs="Arial"/>
          <w:b/>
          <w:lang w:val="en-GB" w:eastAsia="ko-KR"/>
        </w:rPr>
      </w:pPr>
      <w:r w:rsidRPr="00A201D7">
        <w:rPr>
          <w:rFonts w:ascii="Arial" w:hAnsi="Arial" w:cs="Arial"/>
          <w:b/>
          <w:lang w:val="en-GB" w:eastAsia="ko-KR"/>
        </w:rPr>
        <w:t>Proposal 1:</w:t>
      </w:r>
      <w:r w:rsidR="00A201D7" w:rsidRPr="00A201D7">
        <w:rPr>
          <w:rFonts w:ascii="Arial" w:hAnsi="Arial" w:cs="Arial"/>
          <w:b/>
          <w:lang w:val="en-GB" w:eastAsia="ko-KR"/>
        </w:rPr>
        <w:t xml:space="preserve"> Two paging configurations can be signalled in SIB1, one corresponding to each SSB periodicity/SSB configuration. UE applies the configuration according to active SSB periodicity/SSB configuration.</w:t>
      </w:r>
    </w:p>
    <w:p w14:paraId="0E4B2EB3" w14:textId="77777777" w:rsidR="00554B2D" w:rsidRPr="00A201D7" w:rsidRDefault="00554B2D" w:rsidP="00554B2D">
      <w:pPr>
        <w:spacing w:after="0"/>
        <w:jc w:val="both"/>
        <w:rPr>
          <w:rFonts w:ascii="Arial" w:hAnsi="Arial" w:cs="Arial"/>
          <w:b/>
          <w:lang w:val="en-GB" w:eastAsia="ko-KR"/>
        </w:rPr>
      </w:pPr>
    </w:p>
    <w:p w14:paraId="642B3A6B" w14:textId="7A84C4F4" w:rsidR="00E05F7C" w:rsidRPr="00E05F7C" w:rsidRDefault="00E05F7C" w:rsidP="00E05F7C">
      <w:pPr>
        <w:spacing w:line="360" w:lineRule="auto"/>
        <w:jc w:val="both"/>
        <w:rPr>
          <w:rFonts w:ascii="Arial" w:hAnsi="Arial" w:cs="Arial"/>
          <w:bCs/>
          <w:sz w:val="28"/>
          <w:lang w:eastAsia="zh-CN"/>
        </w:rPr>
      </w:pPr>
      <w:r>
        <w:rPr>
          <w:rFonts w:ascii="Arial" w:hAnsi="Arial" w:cs="Arial"/>
          <w:bCs/>
          <w:sz w:val="28"/>
          <w:lang w:eastAsia="zh-CN"/>
        </w:rPr>
        <w:t xml:space="preserve">2.2. </w:t>
      </w:r>
      <w:r w:rsidRPr="00E05F7C">
        <w:rPr>
          <w:rFonts w:ascii="Arial" w:hAnsi="Arial" w:cs="Arial"/>
          <w:bCs/>
          <w:sz w:val="28"/>
          <w:lang w:eastAsia="zh-CN"/>
        </w:rPr>
        <w:t xml:space="preserve">Adaptation of </w:t>
      </w:r>
      <w:r>
        <w:rPr>
          <w:rFonts w:ascii="Arial" w:hAnsi="Arial" w:cs="Arial"/>
          <w:bCs/>
          <w:sz w:val="28"/>
          <w:lang w:eastAsia="zh-CN"/>
        </w:rPr>
        <w:t>paging occasions</w:t>
      </w:r>
    </w:p>
    <w:p w14:paraId="1DD8EDFA" w14:textId="42E123DE" w:rsidR="002950E2" w:rsidRPr="00E05F7C" w:rsidRDefault="002950E2" w:rsidP="001E5D62">
      <w:pPr>
        <w:pStyle w:val="BodyText"/>
        <w:rPr>
          <w:rFonts w:ascii="Arial" w:hAnsi="Arial" w:cs="Arial"/>
          <w:sz w:val="24"/>
          <w:u w:val="single"/>
        </w:rPr>
      </w:pPr>
      <w:r w:rsidRPr="00E05F7C">
        <w:rPr>
          <w:rFonts w:ascii="Arial" w:hAnsi="Arial" w:cs="Arial"/>
          <w:sz w:val="24"/>
          <w:u w:val="single"/>
        </w:rPr>
        <w:t>Paging frame bundling</w:t>
      </w:r>
    </w:p>
    <w:p w14:paraId="3646A9A3" w14:textId="437EC302" w:rsidR="00E05F7C" w:rsidRPr="00FB7FDA" w:rsidRDefault="00E05F7C" w:rsidP="00E05F7C">
      <w:pPr>
        <w:pStyle w:val="BodyText"/>
        <w:rPr>
          <w:rFonts w:ascii="Arial" w:hAnsi="Arial" w:cs="Arial"/>
          <w:b/>
        </w:rPr>
      </w:pPr>
      <w:r w:rsidRPr="00FB7FDA">
        <w:rPr>
          <w:rFonts w:ascii="Arial" w:hAnsi="Arial" w:cs="Arial"/>
          <w:b/>
        </w:rPr>
        <w:t>Example implementation 1</w:t>
      </w:r>
      <w:r w:rsidR="00FB7FDA" w:rsidRPr="00FB7FDA">
        <w:rPr>
          <w:rFonts w:ascii="Arial" w:hAnsi="Arial" w:cs="Arial"/>
          <w:b/>
        </w:rPr>
        <w:t xml:space="preserve"> (Figure 1)</w:t>
      </w:r>
      <w:r w:rsidRPr="00FB7FDA">
        <w:rPr>
          <w:rFonts w:ascii="Arial" w:hAnsi="Arial" w:cs="Arial"/>
          <w:b/>
        </w:rPr>
        <w:t>:</w:t>
      </w:r>
    </w:p>
    <w:p w14:paraId="0F1767C6" w14:textId="77777777" w:rsidR="00FB7FDA" w:rsidRDefault="00FB7FDA" w:rsidP="00FB7FDA">
      <w:pPr>
        <w:pStyle w:val="BodyText"/>
        <w:rPr>
          <w:rFonts w:ascii="Arial" w:hAnsi="Arial" w:cs="Arial"/>
          <w:b/>
        </w:rPr>
      </w:pPr>
      <w:r>
        <w:object w:dxaOrig="12000" w:dyaOrig="4764" w14:anchorId="30177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0pt;height:192pt" o:ole="">
            <v:imagedata r:id="rId12" o:title=""/>
          </v:shape>
          <o:OLEObject Type="Embed" ProgID="Visio.Drawing.15" ShapeID="_x0000_i1040" DrawAspect="Content" ObjectID="_1789195427" r:id="rId13"/>
        </w:object>
      </w:r>
    </w:p>
    <w:p w14:paraId="0FF4D520" w14:textId="77777777" w:rsidR="00FB7FDA" w:rsidRDefault="00FB7FDA" w:rsidP="00FB7FDA">
      <w:pPr>
        <w:pStyle w:val="BodyText"/>
        <w:jc w:val="center"/>
        <w:rPr>
          <w:rFonts w:ascii="Arial" w:hAnsi="Arial" w:cs="Arial"/>
          <w:b/>
        </w:rPr>
      </w:pPr>
      <w:r w:rsidRPr="002A6CF8">
        <w:rPr>
          <w:rFonts w:ascii="Arial" w:hAnsi="Arial" w:cs="Arial"/>
          <w:b/>
        </w:rPr>
        <w:t>Figure 1</w:t>
      </w:r>
    </w:p>
    <w:p w14:paraId="052B2264" w14:textId="3B909F93" w:rsidR="00E05F7C" w:rsidRPr="00E05F7C" w:rsidRDefault="00E05F7C" w:rsidP="00E05F7C">
      <w:pPr>
        <w:pStyle w:val="BodyText"/>
        <w:rPr>
          <w:rFonts w:ascii="Arial" w:hAnsi="Arial" w:cs="Arial"/>
        </w:rPr>
      </w:pPr>
      <w:r w:rsidRPr="00E05F7C">
        <w:rPr>
          <w:rFonts w:ascii="Arial" w:hAnsi="Arial" w:cs="Arial"/>
        </w:rPr>
        <w:t>In the legacy paging frame is determined using the following equation</w:t>
      </w:r>
    </w:p>
    <w:p w14:paraId="0F1953BA" w14:textId="77777777" w:rsidR="00387D02" w:rsidRPr="00E05F7C" w:rsidRDefault="002440C4" w:rsidP="00E05F7C">
      <w:pPr>
        <w:pStyle w:val="BodyText"/>
        <w:numPr>
          <w:ilvl w:val="1"/>
          <w:numId w:val="19"/>
        </w:numPr>
        <w:rPr>
          <w:rFonts w:ascii="Arial" w:hAnsi="Arial" w:cs="Arial"/>
        </w:rPr>
      </w:pPr>
      <w:r w:rsidRPr="00E05F7C">
        <w:rPr>
          <w:rFonts w:ascii="Arial" w:hAnsi="Arial" w:cs="Arial"/>
        </w:rPr>
        <w:t>(SFN +PF_Offset) mod T = (T div N) * (UE_ID mod N)</w:t>
      </w:r>
    </w:p>
    <w:p w14:paraId="6A7A6B13" w14:textId="290CD84D" w:rsidR="00E05F7C" w:rsidRPr="00E05F7C" w:rsidRDefault="00E05F7C" w:rsidP="00E05F7C">
      <w:pPr>
        <w:pStyle w:val="BodyText"/>
        <w:rPr>
          <w:rFonts w:ascii="Arial" w:hAnsi="Arial" w:cs="Arial"/>
        </w:rPr>
      </w:pPr>
      <w:r w:rsidRPr="00E05F7C">
        <w:rPr>
          <w:rFonts w:ascii="Arial" w:hAnsi="Arial" w:cs="Arial"/>
        </w:rPr>
        <w:t>The factor “(T div N)” distributes the Paging frames in the DRX cycle. For PF bundling, factor “(T div N)” can be removed from the equation and PF can be determined as follows:</w:t>
      </w:r>
    </w:p>
    <w:p w14:paraId="283F71F8" w14:textId="6CD2C7A7" w:rsidR="00E05F7C" w:rsidRDefault="00E05F7C" w:rsidP="00E05F7C">
      <w:pPr>
        <w:pStyle w:val="BodyText"/>
        <w:numPr>
          <w:ilvl w:val="1"/>
          <w:numId w:val="19"/>
        </w:numPr>
        <w:rPr>
          <w:rFonts w:ascii="Arial" w:hAnsi="Arial" w:cs="Arial"/>
        </w:rPr>
      </w:pPr>
      <w:r w:rsidRPr="00E05F7C">
        <w:rPr>
          <w:rFonts w:ascii="Arial" w:hAnsi="Arial" w:cs="Arial"/>
        </w:rPr>
        <w:t>(SFN +PF_Offset) mod T = UE_ID mod N</w:t>
      </w:r>
    </w:p>
    <w:p w14:paraId="6D424F05" w14:textId="709075D6" w:rsidR="00E05F7C" w:rsidRDefault="00E05F7C" w:rsidP="00E05F7C">
      <w:pPr>
        <w:pStyle w:val="BodyText"/>
        <w:rPr>
          <w:rFonts w:ascii="Arial" w:hAnsi="Arial" w:cs="Arial"/>
        </w:rPr>
      </w:pPr>
      <w:r>
        <w:rPr>
          <w:rFonts w:ascii="Arial" w:hAnsi="Arial" w:cs="Arial"/>
        </w:rPr>
        <w:lastRenderedPageBreak/>
        <w:t xml:space="preserve">POs can be determined as in legacy. No change to PO formula. </w:t>
      </w:r>
    </w:p>
    <w:p w14:paraId="1A33CBEA" w14:textId="77777777" w:rsidR="00FB7FDA" w:rsidRPr="002A6CF8" w:rsidRDefault="00FB7FDA" w:rsidP="00FB7FDA">
      <w:pPr>
        <w:pStyle w:val="BodyText"/>
        <w:jc w:val="center"/>
        <w:rPr>
          <w:rFonts w:ascii="Arial" w:hAnsi="Arial" w:cs="Arial"/>
          <w:b/>
        </w:rPr>
      </w:pPr>
    </w:p>
    <w:p w14:paraId="198B6FE7" w14:textId="7128650F" w:rsidR="00FB7FDA" w:rsidRPr="00FB7FDA" w:rsidRDefault="00FB7FDA" w:rsidP="00FB7FDA">
      <w:pPr>
        <w:pStyle w:val="BodyText"/>
        <w:rPr>
          <w:rFonts w:ascii="Arial" w:hAnsi="Arial" w:cs="Arial"/>
          <w:b/>
        </w:rPr>
      </w:pPr>
      <w:r w:rsidRPr="00FB7FDA">
        <w:rPr>
          <w:rFonts w:ascii="Arial" w:hAnsi="Arial" w:cs="Arial"/>
          <w:b/>
        </w:rPr>
        <w:t>Example implementation 2</w:t>
      </w:r>
      <w:r>
        <w:rPr>
          <w:rFonts w:ascii="Arial" w:hAnsi="Arial" w:cs="Arial"/>
          <w:b/>
        </w:rPr>
        <w:t xml:space="preserve"> (Figure 2)</w:t>
      </w:r>
      <w:bookmarkStart w:id="1" w:name="_GoBack"/>
      <w:bookmarkEnd w:id="1"/>
      <w:r w:rsidRPr="00FB7FDA">
        <w:rPr>
          <w:rFonts w:ascii="Arial" w:hAnsi="Arial" w:cs="Arial"/>
          <w:b/>
        </w:rPr>
        <w:t>:</w:t>
      </w:r>
    </w:p>
    <w:p w14:paraId="1550AC1D" w14:textId="77777777" w:rsidR="00FB7FDA" w:rsidRDefault="00FB7FDA" w:rsidP="00FB7FDA">
      <w:pPr>
        <w:pStyle w:val="BodyText"/>
        <w:jc w:val="center"/>
        <w:rPr>
          <w:rFonts w:ascii="Arial" w:hAnsi="Arial" w:cs="Arial"/>
        </w:rPr>
      </w:pPr>
      <w:r w:rsidRPr="002A6CF8">
        <w:rPr>
          <w:rFonts w:ascii="Arial" w:hAnsi="Arial" w:cs="Arial"/>
        </w:rPr>
        <w:object w:dxaOrig="12180" w:dyaOrig="2424" w14:anchorId="359B1543">
          <v:shape id="_x0000_i1038" type="#_x0000_t75" style="width:480pt;height:96pt" o:ole="">
            <v:imagedata r:id="rId14" o:title=""/>
          </v:shape>
          <o:OLEObject Type="Embed" ProgID="Visio.Drawing.15" ShapeID="_x0000_i1038" DrawAspect="Content" ObjectID="_1789195428" r:id="rId15"/>
        </w:object>
      </w:r>
      <w:r w:rsidRPr="002A6CF8">
        <w:rPr>
          <w:rFonts w:ascii="Arial" w:hAnsi="Arial" w:cs="Arial"/>
          <w:b/>
        </w:rPr>
        <w:t>Figure 2</w:t>
      </w:r>
    </w:p>
    <w:p w14:paraId="21B2D8E2" w14:textId="61B7FA26" w:rsidR="00387D02" w:rsidRPr="00E05F7C" w:rsidRDefault="002440C4" w:rsidP="00E05F7C">
      <w:pPr>
        <w:pStyle w:val="BodyText"/>
        <w:rPr>
          <w:rFonts w:ascii="Arial" w:hAnsi="Arial" w:cs="Arial"/>
        </w:rPr>
      </w:pPr>
      <w:r w:rsidRPr="00E05F7C">
        <w:rPr>
          <w:rFonts w:ascii="Arial" w:hAnsi="Arial" w:cs="Arial"/>
        </w:rPr>
        <w:t>PFs can be bundled over a short duration (D) periodically (see figure</w:t>
      </w:r>
      <w:r w:rsidR="002A6CF8">
        <w:rPr>
          <w:rFonts w:ascii="Arial" w:hAnsi="Arial" w:cs="Arial"/>
        </w:rPr>
        <w:t xml:space="preserve"> 2</w:t>
      </w:r>
      <w:r w:rsidRPr="00E05F7C">
        <w:rPr>
          <w:rFonts w:ascii="Arial" w:hAnsi="Arial" w:cs="Arial"/>
        </w:rPr>
        <w:t>)</w:t>
      </w:r>
    </w:p>
    <w:p w14:paraId="653713FE" w14:textId="3B6B1546" w:rsidR="00387D02" w:rsidRDefault="002440C4" w:rsidP="00E05F7C">
      <w:pPr>
        <w:pStyle w:val="BodyText"/>
        <w:numPr>
          <w:ilvl w:val="0"/>
          <w:numId w:val="20"/>
        </w:numPr>
        <w:rPr>
          <w:rFonts w:ascii="Arial" w:hAnsi="Arial" w:cs="Arial"/>
        </w:rPr>
      </w:pPr>
      <w:r w:rsidRPr="00E05F7C">
        <w:rPr>
          <w:rFonts w:ascii="Arial" w:hAnsi="Arial" w:cs="Arial"/>
        </w:rPr>
        <w:t>#of PFs (N1) in duration D = D, D/2, D/4, D/8, ….</w:t>
      </w:r>
    </w:p>
    <w:p w14:paraId="161BF50D" w14:textId="05F92F3D" w:rsidR="00A201D7" w:rsidRPr="00E05F7C" w:rsidRDefault="00A201D7" w:rsidP="00E05F7C">
      <w:pPr>
        <w:pStyle w:val="BodyText"/>
        <w:numPr>
          <w:ilvl w:val="0"/>
          <w:numId w:val="20"/>
        </w:numPr>
        <w:rPr>
          <w:rFonts w:ascii="Arial" w:hAnsi="Arial" w:cs="Arial"/>
        </w:rPr>
      </w:pPr>
      <w:r>
        <w:rPr>
          <w:rFonts w:ascii="Arial" w:hAnsi="Arial" w:cs="Arial"/>
        </w:rPr>
        <w:t>Note that in current spec, D is T.</w:t>
      </w:r>
    </w:p>
    <w:p w14:paraId="6049F8FD" w14:textId="77777777" w:rsidR="002A6CF8" w:rsidRPr="002A6CF8" w:rsidRDefault="002A6CF8" w:rsidP="002A6CF8">
      <w:pPr>
        <w:pStyle w:val="BodyText"/>
        <w:rPr>
          <w:rFonts w:ascii="Arial" w:hAnsi="Arial" w:cs="Arial"/>
        </w:rPr>
      </w:pPr>
      <w:r w:rsidRPr="002A6CF8">
        <w:rPr>
          <w:rFonts w:ascii="Arial" w:hAnsi="Arial" w:cs="Arial"/>
        </w:rPr>
        <w:t>UE’s PF</w:t>
      </w:r>
    </w:p>
    <w:p w14:paraId="10E1E50B" w14:textId="3CF6661F" w:rsidR="002A6CF8" w:rsidRPr="002A6CF8" w:rsidRDefault="002A6CF8" w:rsidP="002A6CF8">
      <w:pPr>
        <w:pStyle w:val="BodyText"/>
        <w:numPr>
          <w:ilvl w:val="0"/>
          <w:numId w:val="20"/>
        </w:numPr>
        <w:rPr>
          <w:rFonts w:ascii="Arial" w:hAnsi="Arial" w:cs="Arial"/>
        </w:rPr>
      </w:pPr>
      <w:r w:rsidRPr="002A6CF8">
        <w:rPr>
          <w:rFonts w:ascii="Arial" w:hAnsi="Arial" w:cs="Arial"/>
        </w:rPr>
        <w:t>(SFN +PF_Offset) mod T = (D div N1) * (UE_ID mod N1)</w:t>
      </w:r>
      <w:r w:rsidR="00A201D7">
        <w:rPr>
          <w:rFonts w:ascii="Arial" w:hAnsi="Arial" w:cs="Arial"/>
        </w:rPr>
        <w:t>. Note that in current spec, D is T.</w:t>
      </w:r>
    </w:p>
    <w:p w14:paraId="7587B76E" w14:textId="133E68EC" w:rsidR="00E05F7C" w:rsidRDefault="002A6CF8" w:rsidP="00E05F7C">
      <w:pPr>
        <w:pStyle w:val="BodyText"/>
        <w:numPr>
          <w:ilvl w:val="0"/>
          <w:numId w:val="20"/>
        </w:numPr>
        <w:rPr>
          <w:rFonts w:ascii="Arial" w:hAnsi="Arial" w:cs="Arial"/>
        </w:rPr>
      </w:pPr>
      <w:r w:rsidRPr="002A6CF8">
        <w:rPr>
          <w:rFonts w:ascii="Arial" w:hAnsi="Arial" w:cs="Arial"/>
        </w:rPr>
        <w:t>T is UE specific DRX cycle in multiples of X; T can be X; or</w:t>
      </w:r>
      <w:r>
        <w:rPr>
          <w:rFonts w:ascii="Arial" w:hAnsi="Arial" w:cs="Arial"/>
        </w:rPr>
        <w:t xml:space="preserve"> </w:t>
      </w:r>
      <w:r w:rsidRPr="002A6CF8">
        <w:rPr>
          <w:rFonts w:ascii="Arial" w:hAnsi="Arial" w:cs="Arial"/>
        </w:rPr>
        <w:t>T is max (UE specific DRX cycle and X)</w:t>
      </w:r>
    </w:p>
    <w:p w14:paraId="675CB9C6" w14:textId="77777777" w:rsidR="002A6CF8" w:rsidRPr="002A6CF8" w:rsidRDefault="002A6CF8" w:rsidP="002A6CF8">
      <w:pPr>
        <w:pStyle w:val="BodyText"/>
        <w:ind w:left="720"/>
        <w:rPr>
          <w:rFonts w:ascii="Arial" w:hAnsi="Arial" w:cs="Arial"/>
        </w:rPr>
      </w:pPr>
    </w:p>
    <w:p w14:paraId="089FF17E" w14:textId="77777777" w:rsidR="002A6CF8" w:rsidRPr="002A6CF8" w:rsidRDefault="002A6CF8" w:rsidP="002A6CF8">
      <w:pPr>
        <w:jc w:val="both"/>
        <w:rPr>
          <w:rFonts w:ascii="Arial" w:eastAsiaTheme="minorEastAsia" w:hAnsi="Arial" w:cs="Arial"/>
          <w:u w:val="single"/>
          <w:lang w:val="en-GB"/>
        </w:rPr>
      </w:pPr>
      <w:r w:rsidRPr="002A6CF8">
        <w:rPr>
          <w:rFonts w:ascii="Arial" w:eastAsiaTheme="minorEastAsia" w:hAnsi="Arial" w:cs="Arial"/>
          <w:u w:val="single"/>
          <w:lang w:val="en-GB"/>
        </w:rPr>
        <w:t xml:space="preserve">Extension of N and Ns </w:t>
      </w:r>
    </w:p>
    <w:p w14:paraId="75FB770C" w14:textId="77777777" w:rsidR="00AE7E9E" w:rsidRDefault="00ED4FC0" w:rsidP="00C01E08">
      <w:pPr>
        <w:pStyle w:val="BodyText"/>
        <w:rPr>
          <w:rFonts w:ascii="Arial" w:hAnsi="Arial" w:cs="Arial"/>
        </w:rPr>
      </w:pPr>
      <w:r w:rsidRPr="00ED4FC0">
        <w:rPr>
          <w:rFonts w:ascii="Arial" w:hAnsi="Arial" w:cs="Arial"/>
        </w:rPr>
        <w:t xml:space="preserve">An alternate approach </w:t>
      </w:r>
      <w:r w:rsidR="002A6CF8">
        <w:rPr>
          <w:rFonts w:ascii="Arial" w:hAnsi="Arial" w:cs="Arial"/>
        </w:rPr>
        <w:t xml:space="preserve">for clustering POs at the beginning of DRX cycle is </w:t>
      </w:r>
      <w:r w:rsidRPr="00ED4FC0">
        <w:rPr>
          <w:rFonts w:ascii="Arial" w:hAnsi="Arial" w:cs="Arial"/>
        </w:rPr>
        <w:t>to e</w:t>
      </w:r>
      <w:r w:rsidR="00290A44" w:rsidRPr="00ED4FC0">
        <w:rPr>
          <w:rFonts w:ascii="Arial" w:hAnsi="Arial" w:cs="Arial"/>
        </w:rPr>
        <w:t>xtend the values of N to have increased interval between PFs</w:t>
      </w:r>
      <w:r w:rsidRPr="00ED4FC0">
        <w:rPr>
          <w:rFonts w:ascii="Arial" w:hAnsi="Arial" w:cs="Arial"/>
        </w:rPr>
        <w:t xml:space="preserve"> (e</w:t>
      </w:r>
      <w:r w:rsidR="00290A44" w:rsidRPr="00ED4FC0">
        <w:rPr>
          <w:rFonts w:ascii="Arial" w:hAnsi="Arial" w:cs="Arial"/>
        </w:rPr>
        <w:t>.g. T/64, T/128 ...</w:t>
      </w:r>
      <w:r w:rsidRPr="00ED4FC0">
        <w:rPr>
          <w:rFonts w:ascii="Arial" w:hAnsi="Arial" w:cs="Arial"/>
        </w:rPr>
        <w:t>) and c</w:t>
      </w:r>
      <w:r w:rsidR="00290A44" w:rsidRPr="00ED4FC0">
        <w:rPr>
          <w:rFonts w:ascii="Arial" w:hAnsi="Arial" w:cs="Arial"/>
        </w:rPr>
        <w:t>ompensat</w:t>
      </w:r>
      <w:r w:rsidRPr="00ED4FC0">
        <w:rPr>
          <w:rFonts w:ascii="Arial" w:hAnsi="Arial" w:cs="Arial"/>
        </w:rPr>
        <w:t xml:space="preserve">ing </w:t>
      </w:r>
      <w:r w:rsidR="00290A44" w:rsidRPr="00ED4FC0">
        <w:rPr>
          <w:rFonts w:ascii="Arial" w:hAnsi="Arial" w:cs="Arial"/>
        </w:rPr>
        <w:t>decrease in number of PFs by increasing POs per PF</w:t>
      </w:r>
      <w:r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r w:rsidR="002A6CF8">
        <w:rPr>
          <w:rFonts w:ascii="Arial" w:hAnsi="Arial" w:cs="Arial"/>
        </w:rPr>
        <w:t xml:space="preserve"> </w:t>
      </w:r>
      <w:r w:rsidR="002A6CF8" w:rsidRPr="002A6CF8">
        <w:rPr>
          <w:rFonts w:ascii="Arial" w:hAnsi="Arial" w:cs="Arial"/>
        </w:rPr>
        <w:t>In this approach, UE can determine PF and PO using the legacy formulas by applying new values of N and Ns</w:t>
      </w:r>
      <w:r w:rsidR="00AE7E9E">
        <w:rPr>
          <w:rFonts w:ascii="Arial" w:hAnsi="Arial" w:cs="Arial"/>
        </w:rPr>
        <w:t xml:space="preserve">. </w:t>
      </w:r>
    </w:p>
    <w:p w14:paraId="6CD2E312" w14:textId="712CA9CC" w:rsidR="002A6CF8" w:rsidRPr="002A6CF8" w:rsidRDefault="00AE7E9E" w:rsidP="00C01E08">
      <w:pPr>
        <w:pStyle w:val="BodyText"/>
        <w:rPr>
          <w:rFonts w:ascii="Arial" w:hAnsi="Arial" w:cs="Arial"/>
        </w:rPr>
      </w:pPr>
      <w:r>
        <w:rPr>
          <w:rFonts w:ascii="Arial" w:hAnsi="Arial" w:cs="Arial"/>
        </w:rPr>
        <w:t>If cell supports paging adaptation, it configures new parameters N’ and Ns’. N’ and Ns’ configures extended values of number of paging frames and number of POs. Legacy UEs in the cell will apply legacy parameters N and Ns whereas NES UEs supporting paging adaptation applies N’ and Ns’.</w:t>
      </w:r>
    </w:p>
    <w:p w14:paraId="553D36AC" w14:textId="0E2D8A30" w:rsidR="00A201D7" w:rsidRPr="00554B2D" w:rsidRDefault="00A201D7" w:rsidP="00A201D7">
      <w:pPr>
        <w:jc w:val="both"/>
        <w:rPr>
          <w:rFonts w:ascii="Arial" w:eastAsiaTheme="minorEastAsia" w:hAnsi="Arial" w:cs="Arial"/>
          <w:lang w:val="en-GB"/>
        </w:rPr>
      </w:pPr>
      <w:r w:rsidRPr="00554B2D">
        <w:rPr>
          <w:rFonts w:ascii="Arial" w:eastAsiaTheme="minorEastAsia" w:hAnsi="Arial" w:cs="Arial"/>
          <w:lang w:val="en-GB"/>
        </w:rPr>
        <w:t>Extension of N and Ns is simpler and does not require any change to legacy formulas.</w:t>
      </w:r>
      <w:r w:rsidR="005A7939">
        <w:rPr>
          <w:rFonts w:ascii="Arial" w:eastAsiaTheme="minorEastAsia" w:hAnsi="Arial" w:cs="Arial"/>
          <w:lang w:val="en-GB"/>
        </w:rPr>
        <w:t xml:space="preserve"> Additionally, each PO can be flexibly located by indicating starting PDCCH occasion number. However, in case of PF bundling such flexibility is not available as starting PDCCH occasion number for a PO in each PF is same.</w:t>
      </w:r>
    </w:p>
    <w:p w14:paraId="539A14D0" w14:textId="15B4E4FD" w:rsidR="00277C50" w:rsidRDefault="00C01E08" w:rsidP="00C01E08">
      <w:pPr>
        <w:pStyle w:val="BodyText"/>
        <w:rPr>
          <w:rFonts w:ascii="Arial" w:hAnsi="Arial" w:cs="Arial"/>
          <w:b/>
        </w:rPr>
      </w:pPr>
      <w:r w:rsidRPr="00C01E08">
        <w:rPr>
          <w:rFonts w:ascii="Arial" w:hAnsi="Arial" w:cs="Arial"/>
          <w:b/>
        </w:rPr>
        <w:t xml:space="preserve">Proposal </w:t>
      </w:r>
      <w:r w:rsidR="00A201D7">
        <w:rPr>
          <w:rFonts w:ascii="Arial" w:hAnsi="Arial" w:cs="Arial"/>
          <w:b/>
        </w:rPr>
        <w:t>2</w:t>
      </w:r>
      <w:r w:rsidRPr="00C01E08">
        <w:rPr>
          <w:rFonts w:ascii="Arial" w:hAnsi="Arial" w:cs="Arial"/>
          <w:b/>
        </w:rPr>
        <w:t xml:space="preserve">: For adaptation of paging occasions in time domain, </w:t>
      </w:r>
      <w:r w:rsidR="00ED0467" w:rsidRPr="00C01E08">
        <w:rPr>
          <w:rFonts w:ascii="Arial" w:hAnsi="Arial" w:cs="Arial"/>
          <w:b/>
        </w:rPr>
        <w:t>extend the values of N to have increased interval between PFs (e.g. T/64, T/128 ...) and compensating decrease in number of PFs by increasing POs per PF</w:t>
      </w:r>
      <w:r w:rsidRPr="00C01E08">
        <w:rPr>
          <w:rFonts w:ascii="Arial" w:hAnsi="Arial" w:cs="Arial"/>
          <w:b/>
        </w:rPr>
        <w:t>.</w:t>
      </w:r>
    </w:p>
    <w:p w14:paraId="57C174D5" w14:textId="263CB086" w:rsidR="00404485" w:rsidRPr="00404485" w:rsidRDefault="00404485" w:rsidP="00C01E08">
      <w:pPr>
        <w:pStyle w:val="BodyText"/>
        <w:rPr>
          <w:rFonts w:ascii="Arial" w:hAnsi="Arial" w:cs="Arial"/>
          <w:b/>
        </w:rPr>
      </w:pPr>
      <w:r w:rsidRPr="00404485">
        <w:rPr>
          <w:rFonts w:ascii="Arial" w:hAnsi="Arial" w:cs="Arial"/>
          <w:b/>
        </w:rPr>
        <w:t>Proposal 3: If cell supports paging adaptation, it configures new parameters N’ and Ns’. N’ and Ns’ configures extended values of number of paging frames and number of POs. Legacy UEs in the cell will apply legacy parameters N and Ns whereas NES UEs supporting paging adaptation applies N’ and Ns’</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49618ED" w14:textId="77777777" w:rsidR="00554B2D" w:rsidRPr="00554B2D" w:rsidRDefault="00554B2D" w:rsidP="00554B2D">
      <w:pPr>
        <w:spacing w:after="0"/>
        <w:jc w:val="both"/>
        <w:rPr>
          <w:rFonts w:ascii="Arial" w:hAnsi="Arial" w:cs="Arial"/>
          <w:b/>
          <w:lang w:val="en-GB" w:eastAsia="ko-KR"/>
        </w:rPr>
      </w:pPr>
      <w:r w:rsidRPr="00554B2D">
        <w:rPr>
          <w:rFonts w:ascii="Arial" w:hAnsi="Arial" w:cs="Arial"/>
          <w:b/>
          <w:lang w:val="en-GB" w:eastAsia="ko-KR"/>
        </w:rPr>
        <w:t>Proposal 1: Two paging configurations can be signalled in SIB1, one corresponding to each SSB periodicity/SSB configuration. UE applies the configuration according to active SSB periodicity/SSB configuration.</w:t>
      </w:r>
    </w:p>
    <w:p w14:paraId="13074787" w14:textId="77777777" w:rsidR="00481A92" w:rsidRPr="00E13DA9" w:rsidRDefault="00481A92" w:rsidP="00481A92">
      <w:pPr>
        <w:pStyle w:val="BodyText"/>
        <w:suppressAutoHyphens/>
        <w:spacing w:after="0"/>
        <w:rPr>
          <w:rFonts w:ascii="Arial" w:hAnsi="Arial" w:cs="Arial"/>
          <w:b/>
          <w:szCs w:val="20"/>
        </w:rPr>
      </w:pPr>
    </w:p>
    <w:p w14:paraId="4C8AE6B0" w14:textId="471B4CBE" w:rsidR="00ED0467" w:rsidRDefault="00ED0467" w:rsidP="00ED0467">
      <w:pPr>
        <w:pStyle w:val="BodyText"/>
        <w:rPr>
          <w:rFonts w:ascii="Arial" w:hAnsi="Arial" w:cs="Arial"/>
          <w:b/>
        </w:rPr>
      </w:pPr>
      <w:r w:rsidRPr="00C01E08">
        <w:rPr>
          <w:rFonts w:ascii="Arial" w:hAnsi="Arial" w:cs="Arial"/>
          <w:b/>
        </w:rPr>
        <w:t xml:space="preserve">Proposal </w:t>
      </w:r>
      <w:r w:rsidR="00554B2D">
        <w:rPr>
          <w:rFonts w:ascii="Arial" w:hAnsi="Arial" w:cs="Arial"/>
          <w:b/>
        </w:rPr>
        <w:t>2</w:t>
      </w:r>
      <w:r w:rsidRPr="00C01E08">
        <w:rPr>
          <w:rFonts w:ascii="Arial" w:hAnsi="Arial" w:cs="Arial"/>
          <w:b/>
        </w:rPr>
        <w:t>: For adaptation of paging occasions in time domain, extend the values of N to have increased interval between PFs (e.g. T/64, T/128 ...) and compensating decrease in number of PFs by increasing POs per PF.</w:t>
      </w:r>
    </w:p>
    <w:p w14:paraId="2DB97969" w14:textId="77777777" w:rsidR="00404485" w:rsidRPr="00404485" w:rsidRDefault="00404485" w:rsidP="00404485">
      <w:pPr>
        <w:pStyle w:val="BodyText"/>
        <w:rPr>
          <w:rFonts w:ascii="Arial" w:hAnsi="Arial" w:cs="Arial"/>
          <w:b/>
        </w:rPr>
      </w:pPr>
      <w:r w:rsidRPr="00404485">
        <w:rPr>
          <w:rFonts w:ascii="Arial" w:hAnsi="Arial" w:cs="Arial"/>
          <w:b/>
        </w:rPr>
        <w:t>Proposal 3: If cell supports paging adaptation, it configures new parameters N’ and Ns’. N’ and Ns’ configures extended values of number of paging frames and number of POs. Legacy UEs in the cell will apply legacy parameters N and Ns whereas NES UEs supporting paging adaptation applies N’ and Ns’</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1D217" w14:textId="77777777" w:rsidR="00165196" w:rsidRDefault="00165196">
      <w:r>
        <w:separator/>
      </w:r>
    </w:p>
  </w:endnote>
  <w:endnote w:type="continuationSeparator" w:id="0">
    <w:p w14:paraId="6BBFC7D5" w14:textId="77777777" w:rsidR="00165196" w:rsidRDefault="0016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Footlight MT Light">
    <w:panose1 w:val="0204060206030A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9C55F" w14:textId="77777777" w:rsidR="00165196" w:rsidRDefault="00165196">
      <w:r>
        <w:separator/>
      </w:r>
    </w:p>
  </w:footnote>
  <w:footnote w:type="continuationSeparator" w:id="0">
    <w:p w14:paraId="764F23E5" w14:textId="77777777" w:rsidR="00165196" w:rsidRDefault="0016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6"/>
  </w:num>
  <w:num w:numId="4">
    <w:abstractNumId w:val="19"/>
  </w:num>
  <w:num w:numId="5">
    <w:abstractNumId w:val="14"/>
  </w:num>
  <w:num w:numId="6">
    <w:abstractNumId w:val="18"/>
  </w:num>
  <w:num w:numId="7">
    <w:abstractNumId w:val="10"/>
  </w:num>
  <w:num w:numId="8">
    <w:abstractNumId w:val="13"/>
  </w:num>
  <w:num w:numId="9">
    <w:abstractNumId w:val="7"/>
  </w:num>
  <w:num w:numId="10">
    <w:abstractNumId w:val="20"/>
  </w:num>
  <w:num w:numId="11">
    <w:abstractNumId w:val="6"/>
  </w:num>
  <w:num w:numId="12">
    <w:abstractNumId w:val="0"/>
  </w:num>
  <w:num w:numId="13">
    <w:abstractNumId w:val="21"/>
  </w:num>
  <w:num w:numId="14">
    <w:abstractNumId w:val="1"/>
  </w:num>
  <w:num w:numId="15">
    <w:abstractNumId w:val="17"/>
  </w:num>
  <w:num w:numId="16">
    <w:abstractNumId w:val="8"/>
  </w:num>
  <w:num w:numId="17">
    <w:abstractNumId w:val="4"/>
  </w:num>
  <w:num w:numId="18">
    <w:abstractNumId w:val="12"/>
  </w:num>
  <w:num w:numId="19">
    <w:abstractNumId w:val="2"/>
  </w:num>
  <w:num w:numId="20">
    <w:abstractNumId w:val="15"/>
  </w:num>
  <w:num w:numId="21">
    <w:abstractNumId w:val="9"/>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B0E94.318DD910"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cid:image004.png@01DB0E94.318DD910" TargetMode="Externa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10E61-72EA-409A-A7F5-1C1800DC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892</Words>
  <Characters>5085</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32</cp:revision>
  <cp:lastPrinted>2012-03-15T10:36:00Z</cp:lastPrinted>
  <dcterms:created xsi:type="dcterms:W3CDTF">2024-03-25T15:13:00Z</dcterms:created>
  <dcterms:modified xsi:type="dcterms:W3CDTF">2024-09-30T14:57:00Z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